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bookmarkStart w:id="0" w:name="_GoBack"/>
      <w:bookmarkEnd w:id="0"/>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BD0474" w:rsidRDefault="00BD0474" w:rsidP="00BD0474">
      <w:pPr>
        <w:jc w:val="both"/>
        <w:rPr>
          <w:rFonts w:ascii="Calibri" w:hAnsi="Calibri"/>
          <w:sz w:val="22"/>
          <w:szCs w:val="22"/>
        </w:rPr>
      </w:pPr>
    </w:p>
    <w:p w:rsidR="00F14D59" w:rsidRPr="00F14D59" w:rsidRDefault="00F14D59" w:rsidP="00BD0474">
      <w:pPr>
        <w:jc w:val="both"/>
        <w:rPr>
          <w:rFonts w:ascii="Calibri" w:hAnsi="Calibri"/>
          <w:b/>
          <w:i/>
          <w:sz w:val="22"/>
          <w:szCs w:val="22"/>
        </w:rPr>
      </w:pPr>
      <w:r w:rsidRPr="00F14D59">
        <w:rPr>
          <w:rFonts w:ascii="Calibri" w:hAnsi="Calibri"/>
          <w:b/>
          <w:sz w:val="22"/>
          <w:szCs w:val="22"/>
        </w:rPr>
        <w:t>Obec Budimír</w:t>
      </w:r>
    </w:p>
    <w:p w:rsidR="00BD0474" w:rsidRPr="009A7C3B" w:rsidRDefault="00BD0474" w:rsidP="00BD0474">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F14D59" w:rsidRPr="009A7C3B">
        <w:rPr>
          <w:rFonts w:ascii="Calibri" w:eastAsia="Calibri" w:hAnsi="Calibri" w:cs="Calibri"/>
          <w:sz w:val="22"/>
          <w:szCs w:val="22"/>
          <w:lang w:eastAsia="en-US"/>
        </w:rPr>
        <w:t>Budimír 19, 044 43 Budimír</w:t>
      </w:r>
    </w:p>
    <w:p w:rsidR="00BD0474" w:rsidRPr="009A7C3B" w:rsidRDefault="00BD0474" w:rsidP="00BD0474">
      <w:pPr>
        <w:jc w:val="both"/>
        <w:rPr>
          <w:rFonts w:ascii="Calibri" w:hAnsi="Calibri" w:cs="Calibri"/>
          <w:b/>
          <w:sz w:val="22"/>
          <w:szCs w:val="22"/>
        </w:rPr>
      </w:pPr>
      <w:r w:rsidRPr="009A7C3B">
        <w:rPr>
          <w:rFonts w:ascii="Calibri" w:hAnsi="Calibri" w:cs="Calibri"/>
          <w:sz w:val="22"/>
          <w:szCs w:val="22"/>
        </w:rPr>
        <w:t xml:space="preserve">IČO:                          </w:t>
      </w:r>
      <w:r w:rsidRPr="009A7C3B">
        <w:rPr>
          <w:rFonts w:ascii="Calibri" w:hAnsi="Calibri" w:cs="Calibri"/>
          <w:sz w:val="22"/>
          <w:szCs w:val="22"/>
        </w:rPr>
        <w:tab/>
      </w:r>
      <w:r w:rsidRPr="009A7C3B">
        <w:rPr>
          <w:rFonts w:ascii="Calibri" w:hAnsi="Calibri" w:cs="Calibri"/>
          <w:sz w:val="22"/>
          <w:szCs w:val="22"/>
        </w:rPr>
        <w:tab/>
      </w:r>
      <w:r w:rsidR="00F14D59" w:rsidRPr="009A7C3B">
        <w:rPr>
          <w:rFonts w:ascii="Calibri" w:eastAsia="Calibri" w:hAnsi="Calibri" w:cs="Calibri"/>
          <w:sz w:val="22"/>
          <w:szCs w:val="22"/>
          <w:lang w:eastAsia="en-US"/>
        </w:rPr>
        <w:t>00324001</w:t>
      </w:r>
    </w:p>
    <w:p w:rsidR="00BD0474" w:rsidRPr="009A7C3B" w:rsidRDefault="00BD0474" w:rsidP="00BD0474">
      <w:pPr>
        <w:jc w:val="both"/>
        <w:rPr>
          <w:rFonts w:ascii="Calibri" w:hAnsi="Calibri" w:cs="Calibri"/>
          <w:sz w:val="22"/>
          <w:szCs w:val="22"/>
        </w:rPr>
      </w:pPr>
      <w:r w:rsidRPr="009A7C3B">
        <w:rPr>
          <w:rFonts w:ascii="Calibri" w:hAnsi="Calibri" w:cs="Calibri"/>
          <w:sz w:val="22"/>
          <w:szCs w:val="22"/>
        </w:rPr>
        <w:t>DIČ:</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00F14D59" w:rsidRPr="009A7C3B">
        <w:rPr>
          <w:rFonts w:ascii="Calibri" w:eastAsia="Calibri" w:hAnsi="Calibri" w:cs="Calibri"/>
          <w:sz w:val="22"/>
          <w:szCs w:val="22"/>
          <w:lang w:eastAsia="en-US"/>
        </w:rPr>
        <w:t>2021235854</w:t>
      </w:r>
    </w:p>
    <w:p w:rsidR="00BD0474" w:rsidRPr="009A7C3B" w:rsidRDefault="00BD0474" w:rsidP="00BD0474">
      <w:pPr>
        <w:jc w:val="both"/>
        <w:rPr>
          <w:rFonts w:ascii="Calibri" w:hAnsi="Calibri" w:cs="Calibri"/>
          <w:b/>
          <w:sz w:val="22"/>
          <w:szCs w:val="22"/>
        </w:rPr>
      </w:pPr>
      <w:r w:rsidRPr="009A7C3B">
        <w:rPr>
          <w:rFonts w:ascii="Calibri" w:hAnsi="Calibri" w:cs="Calibri"/>
          <w:sz w:val="22"/>
          <w:szCs w:val="22"/>
        </w:rPr>
        <w:t>Bankové spojenie:</w:t>
      </w:r>
      <w:r w:rsidRPr="009A7C3B">
        <w:rPr>
          <w:rFonts w:ascii="Calibri" w:hAnsi="Calibri" w:cs="Calibri"/>
          <w:sz w:val="22"/>
          <w:szCs w:val="22"/>
        </w:rPr>
        <w:tab/>
      </w:r>
      <w:r w:rsidRPr="009A7C3B">
        <w:rPr>
          <w:rFonts w:ascii="Calibri" w:hAnsi="Calibri" w:cs="Calibri"/>
          <w:sz w:val="22"/>
          <w:szCs w:val="22"/>
        </w:rPr>
        <w:tab/>
      </w:r>
      <w:r w:rsidR="009A7C3B" w:rsidRPr="009A7C3B">
        <w:rPr>
          <w:rFonts w:ascii="Calibri" w:hAnsi="Calibri" w:cs="Calibri"/>
          <w:sz w:val="22"/>
          <w:szCs w:val="22"/>
        </w:rPr>
        <w:t>Prima banka Slovensko, a.s.</w:t>
      </w:r>
    </w:p>
    <w:p w:rsidR="009A7C3B" w:rsidRDefault="00BD0474" w:rsidP="009A7C3B">
      <w:pPr>
        <w:jc w:val="both"/>
      </w:pPr>
      <w:r w:rsidRPr="009A7C3B">
        <w:rPr>
          <w:rFonts w:ascii="Calibri" w:hAnsi="Calibri" w:cs="Calibri"/>
          <w:sz w:val="22"/>
          <w:szCs w:val="22"/>
        </w:rPr>
        <w:t>IBAN:</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009A7C3B" w:rsidRPr="009A7C3B">
        <w:rPr>
          <w:rFonts w:ascii="Calibri" w:hAnsi="Calibri" w:cs="Calibri"/>
          <w:sz w:val="22"/>
          <w:szCs w:val="22"/>
        </w:rPr>
        <w:t>SK565600000000048 5373015</w:t>
      </w:r>
    </w:p>
    <w:p w:rsidR="001F1467" w:rsidRPr="00CA76D1" w:rsidRDefault="00BD0474" w:rsidP="009A7C3B">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Pr="00F14D59" w:rsidRDefault="00AA2740" w:rsidP="00F14D59">
      <w:pPr>
        <w:numPr>
          <w:ilvl w:val="1"/>
          <w:numId w:val="14"/>
        </w:numPr>
        <w:autoSpaceDE w:val="0"/>
        <w:autoSpaceDN w:val="0"/>
        <w:adjustRightInd w:val="0"/>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F14D59">
        <w:rPr>
          <w:rFonts w:ascii="Calibri" w:hAnsi="Calibri"/>
          <w:sz w:val="22"/>
          <w:szCs w:val="22"/>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F14D59">
        <w:rPr>
          <w:rFonts w:ascii="Calibri" w:hAnsi="Calibri"/>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sidRPr="00F14D59">
        <w:rPr>
          <w:rFonts w:ascii="Calibri" w:hAnsi="Calibri"/>
          <w:sz w:val="22"/>
          <w:szCs w:val="22"/>
        </w:rPr>
        <w:t>„</w:t>
      </w:r>
      <w:r w:rsidR="00F14D59" w:rsidRPr="00F14D59">
        <w:rPr>
          <w:rFonts w:ascii="Calibri" w:hAnsi="Calibri"/>
          <w:b/>
          <w:sz w:val="22"/>
          <w:szCs w:val="22"/>
        </w:rPr>
        <w:t>Vybavenie odborných učební Základnej školy s MŠ M.R.Štefánika, Budimír 11</w:t>
      </w:r>
      <w:r w:rsidR="00E43E59" w:rsidRPr="00F14D59">
        <w:rPr>
          <w:rFonts w:ascii="Calibri" w:hAnsi="Calibri"/>
          <w:sz w:val="22"/>
          <w:szCs w:val="22"/>
        </w:rPr>
        <w:t xml:space="preserve">“, </w:t>
      </w:r>
      <w:r w:rsidR="00E43E59" w:rsidRPr="00CB409C">
        <w:rPr>
          <w:rFonts w:ascii="Calibri" w:hAnsi="Calibri"/>
          <w:sz w:val="22"/>
          <w:szCs w:val="22"/>
          <w:highlight w:val="yellow"/>
        </w:rPr>
        <w:t>Časť 1: Didaktické pomôcky</w:t>
      </w:r>
      <w:r w:rsidR="00F14D59">
        <w:rPr>
          <w:rFonts w:ascii="Calibri" w:hAnsi="Calibri"/>
          <w:sz w:val="22"/>
          <w:szCs w:val="22"/>
        </w:rPr>
        <w:t>.</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0" w:type="auto"/>
        <w:tblLayout w:type="fixed"/>
        <w:tblCellMar>
          <w:left w:w="30" w:type="dxa"/>
          <w:right w:w="30" w:type="dxa"/>
        </w:tblCellMar>
        <w:tblLook w:val="0000" w:firstRow="0" w:lastRow="0" w:firstColumn="0" w:lastColumn="0" w:noHBand="0" w:noVBand="0"/>
      </w:tblPr>
      <w:tblGrid>
        <w:gridCol w:w="518"/>
        <w:gridCol w:w="4164"/>
        <w:gridCol w:w="1444"/>
        <w:gridCol w:w="1984"/>
      </w:tblGrid>
      <w:tr w:rsidR="00F14D59" w:rsidRPr="00F14D59" w:rsidTr="00F14D59">
        <w:tblPrEx>
          <w:tblCellMar>
            <w:top w:w="0" w:type="dxa"/>
            <w:bottom w:w="0" w:type="dxa"/>
          </w:tblCellMar>
        </w:tblPrEx>
        <w:trPr>
          <w:trHeight w:val="446"/>
        </w:trPr>
        <w:tc>
          <w:tcPr>
            <w:tcW w:w="518" w:type="dxa"/>
            <w:tcBorders>
              <w:top w:val="single" w:sz="6" w:space="0" w:color="auto"/>
              <w:left w:val="single" w:sz="6" w:space="0" w:color="auto"/>
              <w:bottom w:val="single" w:sz="6" w:space="0" w:color="auto"/>
              <w:right w:val="single" w:sz="6" w:space="0" w:color="auto"/>
            </w:tcBorders>
            <w:shd w:val="solid" w:color="FFCC00" w:fill="auto"/>
          </w:tcPr>
          <w:p w:rsidR="00F14D59" w:rsidRPr="00F14D59" w:rsidRDefault="00F14D59" w:rsidP="00F14D59">
            <w:pPr>
              <w:autoSpaceDE w:val="0"/>
              <w:autoSpaceDN w:val="0"/>
              <w:adjustRightInd w:val="0"/>
              <w:rPr>
                <w:rFonts w:ascii="Calibri" w:hAnsi="Calibri" w:cs="Calibri"/>
                <w:b/>
                <w:bCs/>
                <w:color w:val="000000"/>
                <w:sz w:val="22"/>
                <w:szCs w:val="22"/>
              </w:rPr>
            </w:pPr>
            <w:r w:rsidRPr="00F14D59">
              <w:rPr>
                <w:rFonts w:ascii="Calibri" w:hAnsi="Calibri" w:cs="Calibri"/>
                <w:b/>
                <w:bCs/>
                <w:color w:val="000000"/>
                <w:sz w:val="22"/>
                <w:szCs w:val="22"/>
              </w:rPr>
              <w:t>Označ.</w:t>
            </w:r>
          </w:p>
        </w:tc>
        <w:tc>
          <w:tcPr>
            <w:tcW w:w="4164" w:type="dxa"/>
            <w:tcBorders>
              <w:top w:val="single" w:sz="6" w:space="0" w:color="auto"/>
              <w:left w:val="single" w:sz="6" w:space="0" w:color="auto"/>
              <w:bottom w:val="single" w:sz="6" w:space="0" w:color="auto"/>
              <w:right w:val="single" w:sz="6" w:space="0" w:color="auto"/>
            </w:tcBorders>
            <w:shd w:val="solid" w:color="FFCC00" w:fill="auto"/>
          </w:tcPr>
          <w:p w:rsidR="00F14D59" w:rsidRPr="00F14D59" w:rsidRDefault="00F14D59" w:rsidP="00F14D59">
            <w:pPr>
              <w:autoSpaceDE w:val="0"/>
              <w:autoSpaceDN w:val="0"/>
              <w:adjustRightInd w:val="0"/>
              <w:jc w:val="center"/>
              <w:rPr>
                <w:rFonts w:ascii="Calibri" w:hAnsi="Calibri" w:cs="Calibri"/>
                <w:b/>
                <w:bCs/>
                <w:color w:val="000000"/>
                <w:sz w:val="22"/>
                <w:szCs w:val="22"/>
              </w:rPr>
            </w:pPr>
            <w:r w:rsidRPr="00F14D59">
              <w:rPr>
                <w:rFonts w:ascii="Calibri" w:hAnsi="Calibri" w:cs="Calibri"/>
                <w:b/>
                <w:bCs/>
                <w:color w:val="000000"/>
                <w:sz w:val="22"/>
                <w:szCs w:val="22"/>
              </w:rPr>
              <w:t>Časť 1:  Didaktické pomôcky</w:t>
            </w:r>
          </w:p>
        </w:tc>
        <w:tc>
          <w:tcPr>
            <w:tcW w:w="1444" w:type="dxa"/>
            <w:tcBorders>
              <w:top w:val="single" w:sz="6" w:space="0" w:color="auto"/>
              <w:left w:val="single" w:sz="6" w:space="0" w:color="auto"/>
              <w:bottom w:val="single" w:sz="6" w:space="0" w:color="auto"/>
              <w:right w:val="single" w:sz="6" w:space="0" w:color="auto"/>
            </w:tcBorders>
            <w:shd w:val="solid" w:color="FFCC00"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Merná jednotka</w:t>
            </w:r>
          </w:p>
        </w:tc>
        <w:tc>
          <w:tcPr>
            <w:tcW w:w="1984" w:type="dxa"/>
            <w:tcBorders>
              <w:top w:val="single" w:sz="6" w:space="0" w:color="auto"/>
              <w:left w:val="single" w:sz="6" w:space="0" w:color="auto"/>
              <w:bottom w:val="single" w:sz="6" w:space="0" w:color="auto"/>
              <w:right w:val="single" w:sz="6" w:space="0" w:color="auto"/>
            </w:tcBorders>
            <w:shd w:val="solid" w:color="FFCC00"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Požadované množstvo</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1-1</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Súbor na robotické programovanie</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súbor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1</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1-2</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Vypalovačka do dreva</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ks</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6</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1-3</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Zverák s príslušenstvom</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8</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1-4</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Sada na meranie spotreby el. energie</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1</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1-5</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Sada na znázornenie skleníkového efektu</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1</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1-6</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Sada na znázornenie zdrojov obnoviteľnej energie</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sada</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1</w:t>
            </w:r>
          </w:p>
        </w:tc>
      </w:tr>
      <w:tr w:rsidR="00F14D59" w:rsidRPr="00F14D59" w:rsidTr="00F14D59">
        <w:tblPrEx>
          <w:tblCellMar>
            <w:top w:w="0" w:type="dxa"/>
            <w:bottom w:w="0" w:type="dxa"/>
          </w:tblCellMar>
        </w:tblPrEx>
        <w:trPr>
          <w:trHeight w:val="214"/>
        </w:trPr>
        <w:tc>
          <w:tcPr>
            <w:tcW w:w="518"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sz w:val="22"/>
                <w:szCs w:val="22"/>
              </w:rPr>
            </w:pPr>
            <w:r w:rsidRPr="00F14D59">
              <w:rPr>
                <w:rFonts w:ascii="Calibri" w:hAnsi="Calibri" w:cs="Calibri"/>
                <w:color w:val="000000"/>
                <w:sz w:val="22"/>
                <w:szCs w:val="22"/>
              </w:rPr>
              <w:t>1-7</w:t>
            </w:r>
          </w:p>
        </w:tc>
        <w:tc>
          <w:tcPr>
            <w:tcW w:w="416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rPr>
                <w:rFonts w:ascii="Calibri" w:hAnsi="Calibri" w:cs="Calibri"/>
                <w:color w:val="000000"/>
              </w:rPr>
            </w:pPr>
            <w:r w:rsidRPr="00F14D59">
              <w:rPr>
                <w:rFonts w:ascii="Calibri" w:hAnsi="Calibri" w:cs="Calibri"/>
                <w:color w:val="000000"/>
              </w:rPr>
              <w:t>Triedna sada nástenných tabúľ pre polytechniku</w:t>
            </w:r>
          </w:p>
        </w:tc>
        <w:tc>
          <w:tcPr>
            <w:tcW w:w="1444" w:type="dxa"/>
            <w:tcBorders>
              <w:top w:val="single" w:sz="6" w:space="0" w:color="auto"/>
              <w:left w:val="single" w:sz="6" w:space="0" w:color="auto"/>
              <w:bottom w:val="single" w:sz="6" w:space="0" w:color="auto"/>
              <w:right w:val="single" w:sz="6" w:space="0" w:color="auto"/>
            </w:tcBorders>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súbor</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14D59" w:rsidRPr="00F14D59" w:rsidRDefault="00F14D59" w:rsidP="00F14D59">
            <w:pPr>
              <w:autoSpaceDE w:val="0"/>
              <w:autoSpaceDN w:val="0"/>
              <w:adjustRightInd w:val="0"/>
              <w:jc w:val="center"/>
              <w:rPr>
                <w:rFonts w:ascii="Calibri" w:hAnsi="Calibri" w:cs="Calibri"/>
                <w:color w:val="000000"/>
              </w:rPr>
            </w:pPr>
            <w:r w:rsidRPr="00F14D59">
              <w:rPr>
                <w:rFonts w:ascii="Calibri" w:hAnsi="Calibri" w:cs="Calibri"/>
                <w:color w:val="00000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F14D59" w:rsidRPr="004D6B09" w:rsidRDefault="001F1467" w:rsidP="00F14D59">
      <w:pPr>
        <w:pStyle w:val="Zarkazkladnhotextu21"/>
        <w:numPr>
          <w:ilvl w:val="1"/>
          <w:numId w:val="16"/>
        </w:numPr>
        <w:ind w:left="709" w:hanging="709"/>
        <w:rPr>
          <w:rFonts w:ascii="Arial" w:hAnsi="Arial" w:cs="Arial"/>
          <w:sz w:val="20"/>
          <w:szCs w:val="20"/>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F14D59" w:rsidRPr="004D6B09">
        <w:rPr>
          <w:rFonts w:ascii="Arial" w:hAnsi="Arial" w:cs="Arial"/>
          <w:sz w:val="20"/>
          <w:szCs w:val="20"/>
        </w:rPr>
        <w:t>Základná škola s materskou školou Milana Rastislava Štefánika,</w:t>
      </w:r>
      <w:r w:rsidR="00F14D59">
        <w:rPr>
          <w:rFonts w:ascii="Arial" w:hAnsi="Arial" w:cs="Arial"/>
          <w:sz w:val="20"/>
          <w:szCs w:val="20"/>
        </w:rPr>
        <w:t xml:space="preserve"> </w:t>
      </w:r>
      <w:r w:rsidR="00F14D59" w:rsidRPr="004D6B09">
        <w:rPr>
          <w:rFonts w:ascii="Arial" w:hAnsi="Arial" w:cs="Arial"/>
          <w:sz w:val="20"/>
          <w:szCs w:val="20"/>
        </w:rPr>
        <w:t>Budimír 11, 044 43 Budimír</w:t>
      </w:r>
      <w:r w:rsidR="00CB409C">
        <w:rPr>
          <w:rFonts w:ascii="Arial" w:hAnsi="Arial" w:cs="Arial"/>
          <w:sz w:val="20"/>
          <w:szCs w:val="20"/>
        </w:rPr>
        <w:t>.</w:t>
      </w:r>
    </w:p>
    <w:p w:rsidR="000036BB" w:rsidRPr="00F14D59" w:rsidRDefault="000036BB" w:rsidP="00F14D59">
      <w:pPr>
        <w:ind w:left="709"/>
        <w:jc w:val="both"/>
        <w:rPr>
          <w:rFonts w:ascii="Calibri" w:hAnsi="Calibri"/>
          <w:b/>
          <w:bCs/>
          <w:sz w:val="22"/>
          <w:szCs w:val="22"/>
        </w:rPr>
      </w:pPr>
    </w:p>
    <w:p w:rsidR="000036BB" w:rsidRPr="00F14D59" w:rsidRDefault="001F1467" w:rsidP="000036BB">
      <w:pPr>
        <w:numPr>
          <w:ilvl w:val="1"/>
          <w:numId w:val="16"/>
        </w:numPr>
        <w:ind w:left="709" w:hanging="709"/>
        <w:jc w:val="both"/>
        <w:rPr>
          <w:rFonts w:ascii="Calibri" w:hAnsi="Calibri"/>
          <w:b/>
          <w:bCs/>
          <w:sz w:val="22"/>
          <w:szCs w:val="22"/>
        </w:rPr>
      </w:pPr>
      <w:r w:rsidRPr="00F14D59">
        <w:rPr>
          <w:rFonts w:ascii="Calibri" w:hAnsi="Calibri"/>
          <w:bCs/>
          <w:sz w:val="22"/>
          <w:szCs w:val="22"/>
        </w:rPr>
        <w:t xml:space="preserve">Predávajúci je povinný dodať tovar do miesta dodania v lehote </w:t>
      </w:r>
      <w:r w:rsidR="00F14D59" w:rsidRPr="004D6B09">
        <w:rPr>
          <w:rFonts w:ascii="Calibri" w:hAnsi="Calibri" w:cs="Calibri"/>
          <w:bCs/>
          <w:sz w:val="22"/>
          <w:szCs w:val="22"/>
        </w:rPr>
        <w:t>do 6 mesiacov</w:t>
      </w:r>
      <w:r w:rsidR="00F14D59">
        <w:rPr>
          <w:rFonts w:ascii="Calibri" w:hAnsi="Calibri" w:cs="Calibri"/>
          <w:bCs/>
          <w:sz w:val="22"/>
          <w:szCs w:val="22"/>
        </w:rPr>
        <w:t xml:space="preserve"> odo dňa nadobudnutia účinnosti Kúpnej zmluvy.</w:t>
      </w:r>
    </w:p>
    <w:p w:rsidR="00F14D59" w:rsidRPr="00F14D59" w:rsidRDefault="00F14D59" w:rsidP="00F14D59">
      <w:pPr>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lastRenderedPageBreak/>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58395652"/>
      <w:bookmarkStart w:id="5" w:name="_Ref160512027"/>
      <w:bookmarkStart w:id="6"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6"/>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4"/>
    </w:p>
    <w:bookmarkEnd w:id="7"/>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lastRenderedPageBreak/>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Pr="00542C44">
        <w:rPr>
          <w:sz w:val="22"/>
          <w:szCs w:val="22"/>
          <w:highlight w:val="red"/>
        </w:rPr>
        <w:t>xx</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Pr="002D6AC9">
        <w:rPr>
          <w:sz w:val="22"/>
          <w:szCs w:val="22"/>
          <w:highlight w:val="red"/>
        </w:rPr>
        <w:t>xx</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w:t>
      </w:r>
      <w:r>
        <w:rPr>
          <w:sz w:val="22"/>
          <w:szCs w:val="22"/>
        </w:rPr>
        <w:lastRenderedPageBreak/>
        <w:t>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lastRenderedPageBreak/>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993F09"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lastRenderedPageBreak/>
        <w:t>Príloha č. 2</w:t>
      </w:r>
    </w:p>
    <w:p w:rsidR="00262A40" w:rsidRDefault="00262A40" w:rsidP="001F1467">
      <w:pPr>
        <w:autoSpaceDE w:val="0"/>
        <w:autoSpaceDN w:val="0"/>
        <w:adjustRightInd w:val="0"/>
        <w:rPr>
          <w:rFonts w:ascii="Calibri" w:hAnsi="Calibri"/>
          <w:sz w:val="22"/>
          <w:szCs w:val="22"/>
        </w:rPr>
      </w:pPr>
    </w:p>
    <w:p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Subdodávateľ</w:t>
            </w:r>
          </w:p>
          <w:p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Kontaktná osoba</w:t>
            </w:r>
          </w:p>
          <w:p w:rsidR="00262A40" w:rsidRPr="002D66BA" w:rsidRDefault="00262A40" w:rsidP="0020307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b/>
                <w:lang w:eastAsia="en-US"/>
              </w:rPr>
            </w:pPr>
            <w:r w:rsidRPr="002D66BA">
              <w:rPr>
                <w:b/>
                <w:lang w:eastAsia="en-US"/>
              </w:rPr>
              <w:t>Popis prác vykonávaných</w:t>
            </w:r>
          </w:p>
          <w:p w:rsidR="00262A40" w:rsidRPr="002D66BA" w:rsidRDefault="00262A40" w:rsidP="00203077">
            <w:pPr>
              <w:spacing w:line="280" w:lineRule="atLeast"/>
              <w:ind w:right="66"/>
              <w:rPr>
                <w:b/>
                <w:lang w:eastAsia="en-US"/>
              </w:rPr>
            </w:pPr>
            <w:r w:rsidRPr="002D66BA">
              <w:rPr>
                <w:b/>
                <w:lang w:eastAsia="en-US"/>
              </w:rPr>
              <w:t>subdodávateľom</w:t>
            </w:r>
          </w:p>
          <w:p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finan.</w:t>
            </w:r>
          </w:p>
          <w:p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bl>
    <w:p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A7" w:rsidRDefault="00325EA7" w:rsidP="007717A9">
      <w:r>
        <w:separator/>
      </w:r>
    </w:p>
  </w:endnote>
  <w:endnote w:type="continuationSeparator" w:id="0">
    <w:p w:rsidR="00325EA7" w:rsidRDefault="00325EA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A364DA">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A7" w:rsidRDefault="00325EA7" w:rsidP="007717A9">
      <w:r>
        <w:separator/>
      </w:r>
    </w:p>
  </w:footnote>
  <w:footnote w:type="continuationSeparator" w:id="0">
    <w:p w:rsidR="00325EA7" w:rsidRDefault="00325EA7"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360"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3"/>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4"/>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5"/>
  </w:num>
  <w:num w:numId="24">
    <w:abstractNumId w:val="22"/>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03F9"/>
    <w:rsid w:val="001C5274"/>
    <w:rsid w:val="001E096D"/>
    <w:rsid w:val="001E198D"/>
    <w:rsid w:val="001E33F8"/>
    <w:rsid w:val="001F1467"/>
    <w:rsid w:val="001F5783"/>
    <w:rsid w:val="00203077"/>
    <w:rsid w:val="002131BA"/>
    <w:rsid w:val="00262A40"/>
    <w:rsid w:val="00283457"/>
    <w:rsid w:val="00295FE9"/>
    <w:rsid w:val="002B58FD"/>
    <w:rsid w:val="00302C58"/>
    <w:rsid w:val="00306564"/>
    <w:rsid w:val="00306B1E"/>
    <w:rsid w:val="003130F4"/>
    <w:rsid w:val="00325EA7"/>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723C6"/>
    <w:rsid w:val="004826F8"/>
    <w:rsid w:val="00495261"/>
    <w:rsid w:val="004B50BC"/>
    <w:rsid w:val="00511D2D"/>
    <w:rsid w:val="00513579"/>
    <w:rsid w:val="005141FC"/>
    <w:rsid w:val="00516BDB"/>
    <w:rsid w:val="0052418D"/>
    <w:rsid w:val="0053375D"/>
    <w:rsid w:val="00533979"/>
    <w:rsid w:val="0055261B"/>
    <w:rsid w:val="00581752"/>
    <w:rsid w:val="005A1FE0"/>
    <w:rsid w:val="005E1A55"/>
    <w:rsid w:val="005E642C"/>
    <w:rsid w:val="00606E6E"/>
    <w:rsid w:val="0063343A"/>
    <w:rsid w:val="006470C4"/>
    <w:rsid w:val="00675634"/>
    <w:rsid w:val="006C7E40"/>
    <w:rsid w:val="006F1C1F"/>
    <w:rsid w:val="00714BC4"/>
    <w:rsid w:val="00750F03"/>
    <w:rsid w:val="00751414"/>
    <w:rsid w:val="007717A9"/>
    <w:rsid w:val="00775E0B"/>
    <w:rsid w:val="007876F2"/>
    <w:rsid w:val="00794D43"/>
    <w:rsid w:val="007C49E5"/>
    <w:rsid w:val="00803BCD"/>
    <w:rsid w:val="008A297C"/>
    <w:rsid w:val="008A5AEC"/>
    <w:rsid w:val="008B13B0"/>
    <w:rsid w:val="008C0D92"/>
    <w:rsid w:val="008C1FEA"/>
    <w:rsid w:val="008C3ADA"/>
    <w:rsid w:val="008E7C4E"/>
    <w:rsid w:val="00912D30"/>
    <w:rsid w:val="009176CD"/>
    <w:rsid w:val="00945B68"/>
    <w:rsid w:val="009655DB"/>
    <w:rsid w:val="00993F09"/>
    <w:rsid w:val="009A7C3B"/>
    <w:rsid w:val="009E0956"/>
    <w:rsid w:val="00A00B60"/>
    <w:rsid w:val="00A0579D"/>
    <w:rsid w:val="00A0731C"/>
    <w:rsid w:val="00A2012D"/>
    <w:rsid w:val="00A32235"/>
    <w:rsid w:val="00A364DA"/>
    <w:rsid w:val="00A409B6"/>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150B0"/>
    <w:rsid w:val="00C37160"/>
    <w:rsid w:val="00C52C30"/>
    <w:rsid w:val="00C56EDF"/>
    <w:rsid w:val="00C6100C"/>
    <w:rsid w:val="00C72B61"/>
    <w:rsid w:val="00C92A84"/>
    <w:rsid w:val="00CA76D1"/>
    <w:rsid w:val="00CB3973"/>
    <w:rsid w:val="00CB409C"/>
    <w:rsid w:val="00CD12A6"/>
    <w:rsid w:val="00CD7082"/>
    <w:rsid w:val="00CE79BD"/>
    <w:rsid w:val="00D0367E"/>
    <w:rsid w:val="00D12D7B"/>
    <w:rsid w:val="00D204CB"/>
    <w:rsid w:val="00D20C6A"/>
    <w:rsid w:val="00D24EC3"/>
    <w:rsid w:val="00D33A6F"/>
    <w:rsid w:val="00D4180A"/>
    <w:rsid w:val="00DD0D8C"/>
    <w:rsid w:val="00E43E59"/>
    <w:rsid w:val="00E84A95"/>
    <w:rsid w:val="00EC23FA"/>
    <w:rsid w:val="00ED765B"/>
    <w:rsid w:val="00F11AE0"/>
    <w:rsid w:val="00F14D59"/>
    <w:rsid w:val="00F22016"/>
    <w:rsid w:val="00F352DB"/>
    <w:rsid w:val="00F46995"/>
    <w:rsid w:val="00F761FC"/>
    <w:rsid w:val="00F94090"/>
    <w:rsid w:val="00FA3E8C"/>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val="x-none"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adpis8Char">
    <w:name w:val="Nadpis 8 Char"/>
    <w:basedOn w:val="Predvolenpsmoodseku"/>
    <w:uiPriority w:val="99"/>
    <w:rsid w:val="00F14D59"/>
    <w:rPr>
      <w:rFonts w:ascii="Cambria" w:eastAsia="Times New Roman" w:hAnsi="Cambria" w:cs="Times New Roman"/>
      <w:color w:val="272727"/>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78CD-CE3B-46F3-8D00-DD18B7DB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18633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2019-03-04T20:22:00Z</dcterms:created>
  <dcterms:modified xsi:type="dcterms:W3CDTF">2019-03-04T20:22:00Z</dcterms:modified>
</cp:coreProperties>
</file>